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A" w:rsidRDefault="003C7FCA" w:rsidP="003C7FCA">
      <w:pPr>
        <w:ind w:left="0"/>
      </w:pPr>
      <w:r>
        <w:t xml:space="preserve">MPA Q2S Planning Sheet </w:t>
      </w:r>
    </w:p>
    <w:p w:rsidR="003C7FCA" w:rsidRPr="004738FA" w:rsidRDefault="003C7FCA" w:rsidP="003C7FCA">
      <w:pPr>
        <w:ind w:left="0"/>
        <w:jc w:val="both"/>
        <w:rPr>
          <w:sz w:val="16"/>
          <w:szCs w:val="16"/>
        </w:rPr>
      </w:pPr>
    </w:p>
    <w:p w:rsidR="003C7FCA" w:rsidRDefault="003C7FCA" w:rsidP="003C7FCA">
      <w:pPr>
        <w:ind w:left="0"/>
        <w:jc w:val="both"/>
        <w:rPr>
          <w:sz w:val="24"/>
          <w:szCs w:val="24"/>
        </w:rPr>
      </w:pPr>
      <w:r w:rsidRPr="003C7FCA">
        <w:rPr>
          <w:sz w:val="24"/>
          <w:szCs w:val="24"/>
        </w:rPr>
        <w:t>Name</w:t>
      </w:r>
      <w:r w:rsidR="00482BF5">
        <w:rPr>
          <w:sz w:val="24"/>
          <w:szCs w:val="24"/>
        </w:rPr>
        <w:t xml:space="preserve"> </w:t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</w:rPr>
        <w:t xml:space="preserve"> </w:t>
      </w:r>
      <w:r w:rsidR="00482BF5">
        <w:rPr>
          <w:sz w:val="24"/>
          <w:szCs w:val="24"/>
        </w:rPr>
        <w:tab/>
        <w:t>Coyote</w:t>
      </w:r>
      <w:r w:rsidRPr="003C7FCA">
        <w:rPr>
          <w:sz w:val="24"/>
          <w:szCs w:val="24"/>
        </w:rPr>
        <w:t xml:space="preserve"> ID </w:t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 w:rsidR="00482BF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3C7FCA" w:rsidRDefault="003C7FCA" w:rsidP="003C7FCA">
      <w:pPr>
        <w:ind w:left="0"/>
        <w:jc w:val="both"/>
        <w:rPr>
          <w:sz w:val="24"/>
          <w:szCs w:val="24"/>
        </w:rPr>
      </w:pPr>
    </w:p>
    <w:p w:rsidR="003C7FCA" w:rsidRPr="003C7FCA" w:rsidRDefault="003C7FCA" w:rsidP="003C7FC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Concentration</w:t>
      </w:r>
      <w:r w:rsidR="006B6B1D">
        <w:rPr>
          <w:sz w:val="24"/>
          <w:szCs w:val="24"/>
        </w:rPr>
        <w:t xml:space="preserve">, if any </w:t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  <w:u w:val="single"/>
        </w:rPr>
        <w:tab/>
      </w:r>
    </w:p>
    <w:p w:rsidR="003C7FCA" w:rsidRPr="003C7FCA" w:rsidRDefault="003C7FCA" w:rsidP="003C7FCA">
      <w:pPr>
        <w:ind w:left="0"/>
        <w:jc w:val="both"/>
        <w:rPr>
          <w:sz w:val="24"/>
          <w:szCs w:val="24"/>
        </w:rPr>
      </w:pPr>
    </w:p>
    <w:p w:rsidR="003C7FCA" w:rsidRPr="006B6B1D" w:rsidRDefault="003C7FCA" w:rsidP="003C7FCA">
      <w:pPr>
        <w:ind w:left="0"/>
        <w:jc w:val="both"/>
        <w:rPr>
          <w:sz w:val="24"/>
          <w:szCs w:val="24"/>
          <w:u w:val="single"/>
        </w:rPr>
      </w:pPr>
      <w:r w:rsidRPr="003C7FCA">
        <w:rPr>
          <w:sz w:val="24"/>
          <w:szCs w:val="24"/>
        </w:rPr>
        <w:t xml:space="preserve">I will complete my program by </w:t>
      </w:r>
      <w:proofErr w:type="gramStart"/>
      <w:r w:rsidRPr="003C7FCA">
        <w:rPr>
          <w:sz w:val="24"/>
          <w:szCs w:val="24"/>
        </w:rPr>
        <w:t>Summer</w:t>
      </w:r>
      <w:proofErr w:type="gramEnd"/>
      <w:r w:rsidRPr="003C7FCA">
        <w:rPr>
          <w:sz w:val="24"/>
          <w:szCs w:val="24"/>
        </w:rPr>
        <w:t xml:space="preserve"> 2020</w:t>
      </w:r>
      <w:r w:rsidR="006B6B1D">
        <w:rPr>
          <w:sz w:val="24"/>
          <w:szCs w:val="24"/>
        </w:rPr>
        <w:t xml:space="preserve">:     </w:t>
      </w:r>
      <w:r w:rsidRPr="003C7FCA">
        <w:rPr>
          <w:sz w:val="24"/>
          <w:szCs w:val="24"/>
        </w:rPr>
        <w:t>YES</w:t>
      </w:r>
      <w:r w:rsidR="006B6B1D">
        <w:rPr>
          <w:sz w:val="24"/>
          <w:szCs w:val="24"/>
        </w:rPr>
        <w:t xml:space="preserve"> </w:t>
      </w:r>
      <w:r w:rsidR="006B6B1D">
        <w:rPr>
          <w:sz w:val="24"/>
          <w:szCs w:val="24"/>
          <w:u w:val="single"/>
        </w:rPr>
        <w:tab/>
        <w:t xml:space="preserve"> </w:t>
      </w:r>
      <w:r w:rsidR="006B6B1D">
        <w:rPr>
          <w:sz w:val="24"/>
          <w:szCs w:val="24"/>
        </w:rPr>
        <w:t xml:space="preserve">     </w:t>
      </w:r>
      <w:r w:rsidRPr="003C7FCA">
        <w:rPr>
          <w:sz w:val="24"/>
          <w:szCs w:val="24"/>
        </w:rPr>
        <w:t>NO</w:t>
      </w:r>
      <w:r w:rsidR="006B6B1D">
        <w:rPr>
          <w:sz w:val="24"/>
          <w:szCs w:val="24"/>
        </w:rPr>
        <w:t xml:space="preserve"> </w:t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</w:rPr>
        <w:t xml:space="preserve">     </w:t>
      </w:r>
      <w:r w:rsidRPr="003C7FCA">
        <w:rPr>
          <w:sz w:val="24"/>
          <w:szCs w:val="24"/>
        </w:rPr>
        <w:t>Uncertain</w:t>
      </w:r>
      <w:r w:rsidR="006B6B1D">
        <w:rPr>
          <w:sz w:val="24"/>
          <w:szCs w:val="24"/>
        </w:rPr>
        <w:t xml:space="preserve"> </w:t>
      </w:r>
      <w:r w:rsidR="006B6B1D">
        <w:rPr>
          <w:sz w:val="24"/>
          <w:szCs w:val="24"/>
          <w:u w:val="single"/>
        </w:rPr>
        <w:tab/>
      </w:r>
      <w:r w:rsidR="006B6B1D">
        <w:rPr>
          <w:sz w:val="24"/>
          <w:szCs w:val="24"/>
          <w:u w:val="single"/>
        </w:rPr>
        <w:tab/>
      </w:r>
    </w:p>
    <w:p w:rsidR="003C7FCA" w:rsidRPr="004738FA" w:rsidRDefault="006B6B1D" w:rsidP="004738F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3C7FCA" w:rsidRPr="003C7FCA">
        <w:rPr>
          <w:sz w:val="24"/>
          <w:szCs w:val="24"/>
        </w:rPr>
        <w:t xml:space="preserve">the </w:t>
      </w:r>
      <w:r>
        <w:rPr>
          <w:sz w:val="24"/>
          <w:szCs w:val="24"/>
        </w:rPr>
        <w:t>term</w:t>
      </w:r>
      <w:r w:rsidR="003C7FCA" w:rsidRPr="003C7FCA">
        <w:rPr>
          <w:sz w:val="24"/>
          <w:szCs w:val="24"/>
        </w:rPr>
        <w:t xml:space="preserve"> you took - or will take </w:t>
      </w:r>
      <w:r>
        <w:rPr>
          <w:sz w:val="24"/>
          <w:szCs w:val="24"/>
        </w:rPr>
        <w:t>–</w:t>
      </w:r>
      <w:r w:rsidR="003C7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 w:rsidR="003C7FCA">
        <w:rPr>
          <w:sz w:val="24"/>
          <w:szCs w:val="24"/>
        </w:rPr>
        <w:t>MPA</w:t>
      </w:r>
      <w:r w:rsidR="003C7FCA" w:rsidRPr="003C7FCA">
        <w:rPr>
          <w:sz w:val="24"/>
          <w:szCs w:val="24"/>
        </w:rPr>
        <w:t xml:space="preserve"> class</w:t>
      </w:r>
      <w:r w:rsidR="003C7FCA">
        <w:rPr>
          <w:sz w:val="24"/>
          <w:szCs w:val="24"/>
        </w:rPr>
        <w:t xml:space="preserve">es through </w:t>
      </w:r>
      <w:proofErr w:type="gramStart"/>
      <w:r w:rsidR="003C7FCA">
        <w:rPr>
          <w:sz w:val="24"/>
          <w:szCs w:val="24"/>
        </w:rPr>
        <w:t>Summer</w:t>
      </w:r>
      <w:proofErr w:type="gramEnd"/>
      <w:r w:rsidR="003C7FCA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73"/>
        <w:tblW w:w="10082" w:type="dxa"/>
        <w:tblInd w:w="0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638"/>
        <w:gridCol w:w="3076"/>
        <w:gridCol w:w="2406"/>
        <w:gridCol w:w="2962"/>
      </w:tblGrid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611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>PA 680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603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>Elective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4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615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>Elective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650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>Elective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662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663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>PA 999 Exam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664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>Cyber elective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  <w:tr w:rsidR="004738FA" w:rsidTr="004738FA">
        <w:trPr>
          <w:trHeight w:val="23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ind w:left="0"/>
            </w:pPr>
            <w:r>
              <w:rPr>
                <w:sz w:val="22"/>
              </w:rPr>
              <w:t xml:space="preserve">PA 672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Pr="003C7FCA" w:rsidRDefault="004738FA" w:rsidP="004738FA">
            <w:pPr>
              <w:spacing w:after="160"/>
              <w:ind w:left="0"/>
              <w:rPr>
                <w:sz w:val="22"/>
              </w:rPr>
            </w:pPr>
            <w:r w:rsidRPr="003C7FCA">
              <w:rPr>
                <w:sz w:val="22"/>
              </w:rPr>
              <w:t xml:space="preserve">Cyber elective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A" w:rsidRDefault="004738FA" w:rsidP="004738FA">
            <w:pPr>
              <w:spacing w:after="160"/>
              <w:ind w:left="0"/>
            </w:pPr>
          </w:p>
        </w:tc>
      </w:tr>
    </w:tbl>
    <w:p w:rsidR="003C7FCA" w:rsidRDefault="003C7FCA"/>
    <w:p w:rsidR="003C7FCA" w:rsidRDefault="003C7FCA"/>
    <w:p w:rsidR="003C7FCA" w:rsidRDefault="003C7FCA"/>
    <w:p w:rsidR="003C7FCA" w:rsidRDefault="003C7FCA"/>
    <w:p w:rsidR="003C7FCA" w:rsidRDefault="003C7FCA" w:rsidP="003C7FC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</w:rPr>
      </w:pPr>
    </w:p>
    <w:p w:rsidR="006B6B1D" w:rsidRDefault="006B6B1D" w:rsidP="003C7FCA">
      <w:pPr>
        <w:ind w:left="0"/>
        <w:rPr>
          <w:sz w:val="22"/>
        </w:rPr>
      </w:pPr>
    </w:p>
    <w:p w:rsidR="006B6B1D" w:rsidRDefault="006B6B1D" w:rsidP="003C7FCA">
      <w:pPr>
        <w:ind w:left="0"/>
        <w:rPr>
          <w:sz w:val="22"/>
        </w:rPr>
      </w:pPr>
    </w:p>
    <w:p w:rsidR="006B6B1D" w:rsidRDefault="006B6B1D" w:rsidP="003C7FCA">
      <w:pPr>
        <w:ind w:left="0"/>
        <w:rPr>
          <w:sz w:val="22"/>
        </w:rPr>
      </w:pPr>
    </w:p>
    <w:p w:rsidR="006B6B1D" w:rsidRDefault="006B6B1D" w:rsidP="003C7FCA">
      <w:pPr>
        <w:ind w:left="0"/>
        <w:rPr>
          <w:sz w:val="22"/>
        </w:rPr>
      </w:pPr>
    </w:p>
    <w:p w:rsidR="006B6B1D" w:rsidRDefault="006B6B1D" w:rsidP="003C7FCA">
      <w:pPr>
        <w:ind w:left="0"/>
        <w:rPr>
          <w:sz w:val="22"/>
        </w:rPr>
      </w:pPr>
    </w:p>
    <w:p w:rsidR="006B6B1D" w:rsidRDefault="006B6B1D" w:rsidP="003C7FCA">
      <w:pPr>
        <w:ind w:left="0"/>
        <w:rPr>
          <w:sz w:val="22"/>
        </w:rPr>
      </w:pPr>
    </w:p>
    <w:p w:rsidR="004738FA" w:rsidRDefault="004738FA" w:rsidP="006B6B1D">
      <w:pPr>
        <w:ind w:left="0"/>
        <w:rPr>
          <w:sz w:val="22"/>
        </w:rPr>
      </w:pPr>
    </w:p>
    <w:p w:rsidR="004738FA" w:rsidRDefault="004738FA" w:rsidP="006B6B1D">
      <w:pPr>
        <w:ind w:left="0"/>
        <w:rPr>
          <w:sz w:val="22"/>
        </w:rPr>
      </w:pPr>
    </w:p>
    <w:p w:rsidR="004738FA" w:rsidRDefault="004738FA" w:rsidP="006B6B1D">
      <w:pPr>
        <w:ind w:left="0"/>
        <w:rPr>
          <w:sz w:val="22"/>
        </w:rPr>
      </w:pPr>
    </w:p>
    <w:p w:rsidR="004738FA" w:rsidRDefault="004738FA" w:rsidP="006B6B1D">
      <w:pPr>
        <w:ind w:left="0"/>
        <w:rPr>
          <w:sz w:val="22"/>
        </w:rPr>
      </w:pPr>
    </w:p>
    <w:p w:rsidR="004738FA" w:rsidRDefault="004738FA" w:rsidP="006B6B1D">
      <w:pPr>
        <w:ind w:left="0"/>
        <w:rPr>
          <w:sz w:val="22"/>
        </w:rPr>
      </w:pPr>
    </w:p>
    <w:p w:rsidR="004738FA" w:rsidRDefault="004738FA" w:rsidP="006B6B1D">
      <w:pPr>
        <w:ind w:left="0"/>
        <w:rPr>
          <w:sz w:val="22"/>
        </w:rPr>
      </w:pPr>
    </w:p>
    <w:p w:rsidR="006B6B1D" w:rsidRDefault="006B6B1D" w:rsidP="006B6B1D">
      <w:pPr>
        <w:ind w:left="0"/>
        <w:rPr>
          <w:sz w:val="22"/>
        </w:rPr>
      </w:pPr>
      <w:r>
        <w:rPr>
          <w:sz w:val="22"/>
        </w:rPr>
        <w:t xml:space="preserve">List the courses (under the pre-2020 catalog) that you will have remaining to take after </w:t>
      </w:r>
      <w:proofErr w:type="gramStart"/>
      <w:r>
        <w:rPr>
          <w:sz w:val="22"/>
        </w:rPr>
        <w:t>Summer</w:t>
      </w:r>
      <w:proofErr w:type="gramEnd"/>
      <w:r>
        <w:rPr>
          <w:sz w:val="22"/>
        </w:rPr>
        <w:t xml:space="preserve"> 2020:</w:t>
      </w:r>
    </w:p>
    <w:p w:rsidR="006B6B1D" w:rsidRDefault="006B6B1D" w:rsidP="006B6B1D">
      <w:pPr>
        <w:ind w:left="0"/>
        <w:rPr>
          <w:sz w:val="22"/>
        </w:rPr>
      </w:pPr>
    </w:p>
    <w:p w:rsidR="00F15F33" w:rsidRDefault="006B6B1D" w:rsidP="006B6B1D">
      <w:pPr>
        <w:ind w:left="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15F33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F15F33" w:rsidRDefault="00F15F33" w:rsidP="006B6B1D">
      <w:pPr>
        <w:ind w:left="0"/>
        <w:rPr>
          <w:sz w:val="22"/>
        </w:rPr>
      </w:pPr>
    </w:p>
    <w:p w:rsidR="006B6B1D" w:rsidRPr="006B6B1D" w:rsidRDefault="006B6B1D" w:rsidP="006B6B1D">
      <w:pPr>
        <w:ind w:left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15F33">
        <w:rPr>
          <w:sz w:val="22"/>
        </w:rPr>
        <w:tab/>
      </w:r>
      <w:r>
        <w:rPr>
          <w:sz w:val="22"/>
          <w:u w:val="single"/>
        </w:rPr>
        <w:tab/>
      </w:r>
      <w:r w:rsidR="00F15F33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6B1D" w:rsidRDefault="006B6B1D" w:rsidP="003C7FCA">
      <w:pPr>
        <w:ind w:left="0"/>
        <w:rPr>
          <w:sz w:val="22"/>
        </w:rPr>
      </w:pPr>
    </w:p>
    <w:p w:rsidR="00D03470" w:rsidRDefault="00D03470" w:rsidP="00D03470">
      <w:pPr>
        <w:ind w:left="0"/>
        <w:rPr>
          <w:sz w:val="22"/>
        </w:rPr>
      </w:pPr>
      <w:r>
        <w:rPr>
          <w:sz w:val="22"/>
        </w:rPr>
        <w:t xml:space="preserve">Students who complete their degree beginning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2020 will have the choice of following the old requirements or the new requirements.  They are very similar. One main difference is that, with the new requirements, you must choose a concentration (and we will have a new concentration in Nonprofit Management).</w:t>
      </w:r>
    </w:p>
    <w:p w:rsidR="00D03470" w:rsidRDefault="00D03470" w:rsidP="003C7FCA">
      <w:pPr>
        <w:ind w:left="0"/>
        <w:rPr>
          <w:sz w:val="22"/>
        </w:rPr>
      </w:pPr>
    </w:p>
    <w:p w:rsidR="006B6B1D" w:rsidRPr="006B6B1D" w:rsidRDefault="006B6B1D" w:rsidP="003C7FCA">
      <w:pPr>
        <w:ind w:left="0"/>
        <w:rPr>
          <w:sz w:val="22"/>
          <w:u w:val="single"/>
        </w:rPr>
      </w:pPr>
      <w:r>
        <w:rPr>
          <w:sz w:val="22"/>
        </w:rPr>
        <w:t xml:space="preserve">My intention is to graduate under </w:t>
      </w:r>
      <w:proofErr w:type="gramStart"/>
      <w:r>
        <w:rPr>
          <w:sz w:val="22"/>
        </w:rPr>
        <w:t>the:</w:t>
      </w:r>
      <w:proofErr w:type="gramEnd"/>
      <w:r>
        <w:rPr>
          <w:sz w:val="22"/>
        </w:rPr>
        <w:t xml:space="preserve">  Old Requirements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New Requirements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03470" w:rsidRDefault="00D03470" w:rsidP="003C7FCA">
      <w:pPr>
        <w:ind w:left="0"/>
        <w:rPr>
          <w:sz w:val="22"/>
        </w:rPr>
      </w:pPr>
    </w:p>
    <w:p w:rsidR="006B6B1D" w:rsidRDefault="006B6B1D" w:rsidP="003C7FCA">
      <w:pPr>
        <w:ind w:left="0"/>
        <w:rPr>
          <w:sz w:val="22"/>
        </w:rPr>
      </w:pPr>
      <w:r>
        <w:rPr>
          <w:sz w:val="22"/>
        </w:rPr>
        <w:t xml:space="preserve">If I plan to graduate under the new requirements, I </w:t>
      </w:r>
      <w:r w:rsidR="00F15F33">
        <w:rPr>
          <w:sz w:val="22"/>
        </w:rPr>
        <w:t>plan to take the following concentration:</w:t>
      </w:r>
    </w:p>
    <w:p w:rsidR="00F15F33" w:rsidRDefault="00F15F33" w:rsidP="00F15F33">
      <w:pPr>
        <w:ind w:left="0" w:firstLine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ab/>
      </w:r>
      <w:r w:rsidR="004738FA">
        <w:rPr>
          <w:sz w:val="22"/>
        </w:rPr>
        <w:t xml:space="preserve">  Leadership</w:t>
      </w:r>
      <w:r w:rsidR="004738FA">
        <w:rPr>
          <w:sz w:val="22"/>
        </w:rPr>
        <w:tab/>
      </w:r>
      <w:r w:rsidR="004738FA">
        <w:rPr>
          <w:sz w:val="22"/>
        </w:rPr>
        <w:tab/>
      </w:r>
      <w:r w:rsidR="004738FA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Cyber Security</w:t>
      </w:r>
      <w:r w:rsidR="004738FA">
        <w:rPr>
          <w:sz w:val="22"/>
        </w:rPr>
        <w:t xml:space="preserve"> </w:t>
      </w:r>
    </w:p>
    <w:p w:rsidR="00F15F33" w:rsidRDefault="00F15F33" w:rsidP="00F15F33">
      <w:pPr>
        <w:ind w:left="0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 w:rsidR="004738FA">
        <w:rPr>
          <w:sz w:val="22"/>
        </w:rPr>
        <w:t xml:space="preserve">  Public Financial Management</w:t>
      </w:r>
      <w:r w:rsidR="004738FA">
        <w:rPr>
          <w:sz w:val="22"/>
        </w:rPr>
        <w:tab/>
      </w:r>
      <w:r w:rsidR="004738FA">
        <w:rPr>
          <w:sz w:val="22"/>
          <w:u w:val="single"/>
        </w:rPr>
        <w:tab/>
      </w:r>
      <w:r w:rsidR="004738FA">
        <w:rPr>
          <w:sz w:val="22"/>
        </w:rPr>
        <w:t xml:space="preserve">  Nonprofit Management   ________</w:t>
      </w:r>
      <w:r>
        <w:rPr>
          <w:sz w:val="22"/>
        </w:rPr>
        <w:t>MSW/MPA Concurrent</w:t>
      </w:r>
    </w:p>
    <w:p w:rsidR="004B4F7B" w:rsidRDefault="004B4F7B" w:rsidP="003C7FC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</w:pPr>
    </w:p>
    <w:p w:rsidR="004B4F7B" w:rsidRDefault="004B4F7B" w:rsidP="003C7FC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</w:pPr>
    </w:p>
    <w:p w:rsidR="004B4F7B" w:rsidRDefault="004B4F7B" w:rsidP="003C7FC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</w:pPr>
    </w:p>
    <w:p w:rsidR="003C7FCA" w:rsidRPr="003C7FCA" w:rsidRDefault="003C7FCA" w:rsidP="003C7FC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</w:rPr>
      </w:pPr>
      <w:r w:rsidRPr="004738FA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lastRenderedPageBreak/>
        <w:t>The MP</w:t>
      </w:r>
      <w:r w:rsidR="004738FA" w:rsidRPr="004738FA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A Program Beginning Fall </w:t>
      </w:r>
      <w:proofErr w:type="gramStart"/>
      <w:r w:rsidR="004738FA" w:rsidRPr="004738FA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2020</w:t>
      </w: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 xml:space="preserve">  </w:t>
      </w:r>
      <w:proofErr w:type="gramEnd"/>
      <w:r w:rsidR="004738FA">
        <w:rPr>
          <w:rStyle w:val="Strong"/>
          <w:rFonts w:asciiTheme="minorHAnsi" w:hAnsiTheme="minorHAnsi" w:cstheme="minorHAnsi"/>
          <w:color w:val="3B4447"/>
          <w:sz w:val="22"/>
          <w:szCs w:val="22"/>
        </w:rPr>
        <w:br/>
      </w: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All stude</w:t>
      </w:r>
      <w:r w:rsidR="004738F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nts must select a concentration and take those classes in addition to the core.  Those who are not Cybersecurity or MSW/MPA will have an additional two free PA electives</w:t>
      </w:r>
      <w:r w:rsidR="004B4F7B">
        <w:rPr>
          <w:rStyle w:val="Strong"/>
          <w:rFonts w:asciiTheme="minorHAnsi" w:hAnsiTheme="minorHAnsi" w:cstheme="minorHAnsi"/>
          <w:color w:val="3B4447"/>
          <w:sz w:val="22"/>
          <w:szCs w:val="22"/>
        </w:rPr>
        <w:t xml:space="preserve"> for </w:t>
      </w:r>
      <w:proofErr w:type="gramStart"/>
      <w:r w:rsidR="004B4F7B">
        <w:rPr>
          <w:rStyle w:val="Strong"/>
          <w:rFonts w:asciiTheme="minorHAnsi" w:hAnsiTheme="minorHAnsi" w:cstheme="minorHAnsi"/>
          <w:color w:val="3B4447"/>
          <w:sz w:val="22"/>
          <w:szCs w:val="22"/>
        </w:rPr>
        <w:t>a total of 12</w:t>
      </w:r>
      <w:proofErr w:type="gramEnd"/>
      <w:r w:rsidR="004B4F7B">
        <w:rPr>
          <w:rStyle w:val="Strong"/>
          <w:rFonts w:asciiTheme="minorHAnsi" w:hAnsiTheme="minorHAnsi" w:cstheme="minorHAnsi"/>
          <w:color w:val="3B4447"/>
          <w:sz w:val="22"/>
          <w:szCs w:val="22"/>
        </w:rPr>
        <w:t xml:space="preserve"> classes</w:t>
      </w:r>
      <w:r w:rsidR="004738F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.  Those two electives may be from the other concentrations or unassigned electives.</w:t>
      </w:r>
    </w:p>
    <w:p w:rsidR="003C7FCA" w:rsidRPr="003C7FCA" w:rsidRDefault="003C7FCA" w:rsidP="003C7FC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B4447"/>
          <w:sz w:val="22"/>
          <w:szCs w:val="22"/>
        </w:rPr>
      </w:pPr>
      <w:proofErr w:type="gramStart"/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MPA Required Core Classes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6110 Public Administration Theory and Practice - Writing Intensive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6030 Research Methods in Administration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6620 Human Resource Management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6630 Public Budgeting and Finance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6640 Management of Public Organizations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6800 Public Policy Analysis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 xml:space="preserve">PA 6550 Capstone: Strategic Planning for Government and Nonprofit Organizations (Must </w:t>
      </w:r>
      <w:r w:rsidR="00482BF5">
        <w:rPr>
          <w:rFonts w:asciiTheme="minorHAnsi" w:hAnsiTheme="minorHAnsi" w:cstheme="minorHAnsi"/>
          <w:color w:val="3B4447"/>
          <w:sz w:val="22"/>
          <w:szCs w:val="22"/>
        </w:rPr>
        <w:t>get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t xml:space="preserve"> a B </w:t>
      </w:r>
      <w:r w:rsidR="00482BF5">
        <w:rPr>
          <w:rFonts w:asciiTheme="minorHAnsi" w:hAnsiTheme="minorHAnsi" w:cstheme="minorHAnsi"/>
          <w:color w:val="3B4447"/>
          <w:sz w:val="22"/>
          <w:szCs w:val="22"/>
        </w:rPr>
        <w:t xml:space="preserve">grade 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t>or</w:t>
      </w:r>
      <w:r w:rsidR="00482BF5">
        <w:rPr>
          <w:rFonts w:asciiTheme="minorHAnsi" w:hAnsiTheme="minorHAnsi" w:cstheme="minorHAnsi"/>
          <w:color w:val="3B4447"/>
          <w:sz w:val="22"/>
          <w:szCs w:val="22"/>
        </w:rPr>
        <w:t xml:space="preserve"> </w:t>
      </w:r>
      <w:r w:rsidR="004B4F7B">
        <w:rPr>
          <w:rFonts w:asciiTheme="minorHAnsi" w:hAnsiTheme="minorHAnsi" w:cstheme="minorHAnsi"/>
          <w:color w:val="3B4447"/>
          <w:sz w:val="22"/>
          <w:szCs w:val="22"/>
        </w:rPr>
        <w:t>higher)</w:t>
      </w:r>
      <w:r w:rsidR="00482BF5" w:rsidRPr="003C7FCA">
        <w:rPr>
          <w:rFonts w:asciiTheme="minorHAnsi" w:hAnsiTheme="minorHAnsi" w:cstheme="minorHAnsi"/>
          <w:color w:val="3B4447"/>
          <w:sz w:val="22"/>
          <w:szCs w:val="22"/>
        </w:rPr>
        <w:br/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</w:r>
      <w:r w:rsidRPr="000470FA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Three internal concentrations: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</w: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Leadership: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5010 Administrative Leadership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6500 Government in the Digital Age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6720 Administrative Regulation</w:t>
      </w:r>
      <w:proofErr w:type="gramEnd"/>
    </w:p>
    <w:p w:rsidR="003C7FCA" w:rsidRPr="003C7FCA" w:rsidRDefault="003C7FCA" w:rsidP="003C7FC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B4447"/>
          <w:sz w:val="22"/>
          <w:szCs w:val="22"/>
        </w:rPr>
      </w:pP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Public Financial Management</w:t>
      </w:r>
      <w:proofErr w:type="gramStart"/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color w:val="3B4447"/>
          <w:sz w:val="22"/>
          <w:szCs w:val="22"/>
        </w:rPr>
        <w:br/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t>6150 Public and Nonprofit Financial Management</w:t>
      </w:r>
      <w:r>
        <w:rPr>
          <w:rFonts w:asciiTheme="minorHAnsi" w:hAnsiTheme="minorHAnsi" w:cstheme="minorHAnsi"/>
          <w:color w:val="3B4447"/>
          <w:sz w:val="22"/>
          <w:szCs w:val="22"/>
        </w:rPr>
        <w:br/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t>6300 Program Evaluation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6610 Principles of Public and Nonprofit Procurement</w:t>
      </w:r>
    </w:p>
    <w:p w:rsidR="000470FA" w:rsidRDefault="003C7FCA" w:rsidP="000470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</w:rPr>
      </w:pP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Nonprofit management: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5140 Nonprofit Management and Leadership     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PA 5150 Executive Nonprofit Leadership     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 xml:space="preserve">PA 5160 Nonprofit Fundraising and </w:t>
      </w:r>
      <w:proofErr w:type="spellStart"/>
      <w:r w:rsidRPr="003C7FCA">
        <w:rPr>
          <w:rFonts w:asciiTheme="minorHAnsi" w:hAnsiTheme="minorHAnsi" w:cstheme="minorHAnsi"/>
          <w:color w:val="3B4447"/>
          <w:sz w:val="22"/>
          <w:szCs w:val="22"/>
        </w:rPr>
        <w:t>Grantwriting</w:t>
      </w:r>
      <w:proofErr w:type="spellEnd"/>
      <w:r w:rsidR="004738FA">
        <w:rPr>
          <w:rFonts w:asciiTheme="minorHAnsi" w:hAnsiTheme="minorHAnsi" w:cstheme="minorHAnsi"/>
          <w:color w:val="3B4447"/>
          <w:sz w:val="22"/>
          <w:szCs w:val="22"/>
        </w:rPr>
        <w:br/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</w:r>
      <w:r w:rsidR="000470FA" w:rsidRPr="000470FA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Two External Concentrations:</w:t>
      </w:r>
    </w:p>
    <w:p w:rsidR="003C7FCA" w:rsidRPr="00482BF5" w:rsidRDefault="003C7FCA" w:rsidP="003C7FC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B4447"/>
          <w:sz w:val="22"/>
          <w:szCs w:val="22"/>
        </w:rPr>
      </w:pP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Cybersecurity</w:t>
      </w:r>
      <w:r w:rsidR="00482BF5">
        <w:rPr>
          <w:rStyle w:val="Strong"/>
          <w:rFonts w:asciiTheme="minorHAnsi" w:hAnsiTheme="minorHAnsi" w:cstheme="minorHAnsi"/>
          <w:color w:val="3B4447"/>
          <w:sz w:val="22"/>
          <w:szCs w:val="22"/>
        </w:rPr>
        <w:t xml:space="preserve"> Concentration-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t xml:space="preserve"> Five classes in addition to the Core</w:t>
      </w:r>
      <w:r w:rsidR="00482BF5">
        <w:rPr>
          <w:rFonts w:asciiTheme="minorHAnsi" w:hAnsiTheme="minorHAnsi" w:cstheme="minorHAnsi"/>
          <w:color w:val="3B4447"/>
          <w:sz w:val="22"/>
          <w:szCs w:val="22"/>
        </w:rPr>
        <w:t xml:space="preserve"> - No open electives</w:t>
      </w:r>
      <w:proofErr w:type="gramStart"/>
      <w:r w:rsidR="00482BF5">
        <w:rPr>
          <w:rFonts w:asciiTheme="minorHAnsi" w:hAnsiTheme="minorHAnsi" w:cstheme="minorHAnsi"/>
          <w:color w:val="3B4447"/>
          <w:sz w:val="22"/>
          <w:szCs w:val="22"/>
        </w:rPr>
        <w:t>:</w:t>
      </w:r>
      <w:proofErr w:type="gramEnd"/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IST 6090 Information Systems and Technology Management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IST 6470 Database Management and Policy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IST 6700 Cybersecurity Policy and Risk Management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IST 6730 Cybersecurity Theory and Practice</w:t>
      </w:r>
      <w:r w:rsidRPr="003C7FCA">
        <w:rPr>
          <w:rFonts w:asciiTheme="minorHAnsi" w:hAnsiTheme="minorHAnsi" w:cstheme="minorHAnsi"/>
          <w:color w:val="3B4447"/>
          <w:sz w:val="22"/>
          <w:szCs w:val="22"/>
        </w:rPr>
        <w:br/>
        <w:t>IST 6890 Enterprise Architecture Planning, Strategy, Security and Policy</w:t>
      </w:r>
    </w:p>
    <w:p w:rsidR="003C7FCA" w:rsidRPr="004738FA" w:rsidRDefault="003C7FCA" w:rsidP="003C7FC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B4447"/>
          <w:sz w:val="22"/>
          <w:szCs w:val="22"/>
          <w:u w:val="single"/>
        </w:rPr>
      </w:pPr>
      <w:r w:rsidRPr="004738FA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Social Work</w:t>
      </w:r>
      <w:r w:rsidRPr="004738FA">
        <w:rPr>
          <w:rFonts w:asciiTheme="minorHAnsi" w:hAnsiTheme="minorHAnsi" w:cstheme="minorHAnsi"/>
          <w:color w:val="3B4447"/>
          <w:sz w:val="22"/>
          <w:szCs w:val="22"/>
          <w:u w:val="single"/>
        </w:rPr>
        <w:t> - Concurrent Degree - See Catalog</w:t>
      </w:r>
    </w:p>
    <w:p w:rsidR="004B4F7B" w:rsidRDefault="004B4F7B" w:rsidP="004738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</w:rPr>
      </w:pPr>
      <w:r w:rsidRPr="003C7FCA">
        <w:rPr>
          <w:rStyle w:val="Strong"/>
          <w:rFonts w:asciiTheme="minorHAnsi" w:hAnsiTheme="minorHAnsi" w:cstheme="minorHAnsi"/>
          <w:color w:val="3B4447"/>
          <w:sz w:val="22"/>
          <w:szCs w:val="22"/>
        </w:rPr>
        <w:t>Two open electives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</w:rPr>
        <w:t xml:space="preserve"> (6 units) for Leadership/Financial Management and Nonprofit Management </w:t>
      </w:r>
      <w:r w:rsidR="00680748">
        <w:rPr>
          <w:rStyle w:val="Strong"/>
          <w:rFonts w:asciiTheme="minorHAnsi" w:hAnsiTheme="minorHAnsi" w:cstheme="minorHAnsi"/>
          <w:color w:val="3B4447"/>
          <w:sz w:val="22"/>
          <w:szCs w:val="22"/>
        </w:rPr>
        <w:t>concentrations</w:t>
      </w:r>
    </w:p>
    <w:p w:rsidR="004738FA" w:rsidRPr="004738FA" w:rsidRDefault="000470FA" w:rsidP="004738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B4447"/>
          <w:sz w:val="22"/>
          <w:szCs w:val="22"/>
        </w:rPr>
        <w:t>Students may select from other concentrations or from Independent</w:t>
      </w:r>
      <w:bookmarkStart w:id="0" w:name="_GoBack"/>
      <w:bookmarkEnd w:id="0"/>
      <w:r w:rsidR="004738FA" w:rsidRPr="004738FA">
        <w:rPr>
          <w:rStyle w:val="Strong"/>
          <w:rFonts w:asciiTheme="minorHAnsi" w:hAnsiTheme="minorHAnsi" w:cstheme="minorHAnsi"/>
          <w:color w:val="3B4447"/>
          <w:sz w:val="22"/>
          <w:szCs w:val="22"/>
        </w:rPr>
        <w:t xml:space="preserve"> electives</w:t>
      </w:r>
    </w:p>
    <w:p w:rsidR="004B4F7B" w:rsidRDefault="004738FA" w:rsidP="00F15F33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</w:pPr>
      <w:r w:rsidRP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PA 5640 Local Public Administration </w:t>
      </w:r>
      <w:r w:rsidRPr="004738FA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  <w:t>PA 5190 Managing Diversity in Organizations</w:t>
      </w:r>
      <w:r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5200 Water Law and Policy</w:t>
      </w:r>
      <w:r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  <w:t>PA 5210 Urban Growth and Planning</w:t>
      </w:r>
      <w:r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5280 Intergovernmental Relations</w:t>
      </w:r>
      <w:r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  <w:t xml:space="preserve">PA 5570 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Public Sector Labor Relations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5730 Public Transportations Systems PA 6170 Managing Local Economic Development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6300 Program Evaluation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ab/>
      </w:r>
      <w:r w:rsidR="004B4F7B" w:rsidRP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PA </w:t>
      </w:r>
      <w:proofErr w:type="gramStart"/>
      <w:r w:rsidR="004B4F7B" w:rsidRP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>6610 :</w:t>
      </w:r>
      <w:proofErr w:type="gramEnd"/>
      <w:r w:rsidR="004B4F7B" w:rsidRP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t xml:space="preserve"> Principles of Public and Nonprofit Procurement</w:t>
      </w:r>
      <w:r w:rsidR="004B4F7B">
        <w:rPr>
          <w:rStyle w:val="Strong"/>
          <w:rFonts w:asciiTheme="minorHAnsi" w:hAnsiTheme="minorHAnsi" w:cstheme="minorHAnsi"/>
          <w:b w:val="0"/>
          <w:color w:val="3B4447"/>
          <w:sz w:val="22"/>
          <w:szCs w:val="22"/>
        </w:rPr>
        <w:br/>
        <w:t>PA 6700 Emergency Management</w:t>
      </w:r>
    </w:p>
    <w:p w:rsidR="00E45749" w:rsidRDefault="004B4F7B" w:rsidP="00F15F33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</w:pP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All students will take a Comprehensive exam after completing their core and concentration classes.</w:t>
      </w:r>
    </w:p>
    <w:p w:rsidR="004B4F7B" w:rsidRPr="004B4F7B" w:rsidRDefault="004B4F7B" w:rsidP="00F15F3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3B444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All students </w:t>
      </w:r>
      <w:r w:rsidR="00BC7AC3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must 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take two semesters of </w:t>
      </w:r>
      <w:r w:rsidRPr="004B4F7B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PA 6985 Pr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ofessional Development Seminar</w:t>
      </w:r>
      <w:r w:rsidR="00BC7AC3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 --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 a</w:t>
      </w:r>
      <w:r w:rsidRPr="004B4F7B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 Monthly 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Zoom </w:t>
      </w:r>
      <w:r w:rsidRPr="004B4F7B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Webinar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.  </w:t>
      </w:r>
      <w:r w:rsidR="00BC7AC3"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 xml:space="preserve">    </w:t>
      </w:r>
      <w:r>
        <w:rPr>
          <w:rStyle w:val="Strong"/>
          <w:rFonts w:asciiTheme="minorHAnsi" w:hAnsiTheme="minorHAnsi" w:cstheme="minorHAnsi"/>
          <w:color w:val="3B4447"/>
          <w:sz w:val="22"/>
          <w:szCs w:val="22"/>
          <w:u w:val="single"/>
        </w:rPr>
        <w:t>(0 units Pass/Fail)</w:t>
      </w:r>
    </w:p>
    <w:sectPr w:rsidR="004B4F7B" w:rsidRPr="004B4F7B" w:rsidSect="004B4F7B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F"/>
    <w:rsid w:val="000470FA"/>
    <w:rsid w:val="003C7FCA"/>
    <w:rsid w:val="004738FA"/>
    <w:rsid w:val="00482BF5"/>
    <w:rsid w:val="004B4F7B"/>
    <w:rsid w:val="00680748"/>
    <w:rsid w:val="006B6B1D"/>
    <w:rsid w:val="00BC7AC3"/>
    <w:rsid w:val="00D03470"/>
    <w:rsid w:val="00E048BF"/>
    <w:rsid w:val="00E45749"/>
    <w:rsid w:val="00EC6144"/>
    <w:rsid w:val="00F15F33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125F"/>
  <w15:docId w15:val="{34F2D016-F5D2-4A13-8091-97458CC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72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C7FC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C7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Anderson</dc:creator>
  <cp:keywords/>
  <cp:lastModifiedBy>Jonathan Anderson</cp:lastModifiedBy>
  <cp:revision>3</cp:revision>
  <dcterms:created xsi:type="dcterms:W3CDTF">2019-01-16T23:04:00Z</dcterms:created>
  <dcterms:modified xsi:type="dcterms:W3CDTF">2019-01-16T23:07:00Z</dcterms:modified>
</cp:coreProperties>
</file>